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附件1：</w:t>
      </w:r>
    </w:p>
    <w:p>
      <w:pPr>
        <w:adjustRightInd w:val="0"/>
        <w:snapToGrid w:val="0"/>
        <w:spacing w:line="560" w:lineRule="exact"/>
        <w:jc w:val="center"/>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海口市</w:t>
      </w:r>
      <w:r>
        <w:rPr>
          <w:rFonts w:hint="eastAsia" w:ascii="黑体" w:hAnsi="黑体" w:eastAsia="黑体" w:cs="黑体"/>
          <w:b/>
          <w:bCs/>
          <w:color w:val="000000" w:themeColor="text1"/>
          <w:sz w:val="36"/>
          <w:szCs w:val="36"/>
          <w:lang w:val="en-US" w:eastAsia="zh-CN"/>
          <w14:textFill>
            <w14:solidFill>
              <w14:schemeClr w14:val="tx1"/>
            </w14:solidFill>
          </w14:textFill>
        </w:rPr>
        <w:t>金融控股</w:t>
      </w:r>
      <w:r>
        <w:rPr>
          <w:rFonts w:hint="eastAsia" w:ascii="黑体" w:hAnsi="黑体" w:eastAsia="黑体" w:cs="黑体"/>
          <w:b/>
          <w:bCs/>
          <w:color w:val="000000" w:themeColor="text1"/>
          <w:sz w:val="36"/>
          <w:szCs w:val="36"/>
          <w14:textFill>
            <w14:solidFill>
              <w14:schemeClr w14:val="tx1"/>
            </w14:solidFill>
          </w14:textFill>
        </w:rPr>
        <w:t>有限公司</w:t>
      </w:r>
    </w:p>
    <w:p>
      <w:pPr>
        <w:adjustRightInd w:val="0"/>
        <w:snapToGrid w:val="0"/>
        <w:spacing w:line="560" w:lineRule="exact"/>
        <w:jc w:val="center"/>
        <w:rPr>
          <w:rFonts w:hint="eastAsia"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2022年度审计</w:t>
      </w:r>
      <w:r>
        <w:rPr>
          <w:rFonts w:hint="eastAsia" w:ascii="黑体" w:hAnsi="黑体" w:eastAsia="黑体" w:cs="黑体"/>
          <w:b/>
          <w:bCs/>
          <w:color w:val="000000" w:themeColor="text1"/>
          <w:sz w:val="36"/>
          <w:szCs w:val="36"/>
          <w14:textFill>
            <w14:solidFill>
              <w14:schemeClr w14:val="tx1"/>
            </w14:solidFill>
          </w14:textFill>
        </w:rPr>
        <w:t>服务单位邀请比选</w:t>
      </w:r>
      <w:r>
        <w:rPr>
          <w:rFonts w:hint="eastAsia" w:ascii="黑体" w:hAnsi="黑体" w:eastAsia="黑体" w:cs="黑体"/>
          <w:b/>
          <w:bCs/>
          <w:color w:val="000000" w:themeColor="text1"/>
          <w:sz w:val="36"/>
          <w:szCs w:val="36"/>
          <w:lang w:val="en-US" w:eastAsia="zh-CN"/>
          <w14:textFill>
            <w14:solidFill>
              <w14:schemeClr w14:val="tx1"/>
            </w14:solidFill>
          </w14:textFill>
        </w:rPr>
        <w:t>工作要求</w:t>
      </w:r>
    </w:p>
    <w:p>
      <w:pPr>
        <w:adjustRightInd w:val="0"/>
        <w:snapToGrid w:val="0"/>
        <w:spacing w:line="560" w:lineRule="exact"/>
        <w:jc w:val="center"/>
        <w:rPr>
          <w:rFonts w:hint="eastAsia" w:ascii="仿宋" w:hAnsi="仿宋" w:eastAsia="仿宋" w:cs="仿宋"/>
          <w:b/>
          <w:color w:val="000000" w:themeColor="text1"/>
          <w:sz w:val="32"/>
          <w:szCs w:val="32"/>
          <w14:textFill>
            <w14:solidFill>
              <w14:schemeClr w14:val="tx1"/>
            </w14:solidFill>
          </w14:textFill>
        </w:rPr>
      </w:pPr>
      <w:bookmarkStart w:id="0" w:name="_GoBack"/>
      <w:bookmarkEnd w:id="0"/>
    </w:p>
    <w:p>
      <w:pPr>
        <w:pStyle w:val="2"/>
        <w:snapToGrid w:val="0"/>
        <w:spacing w:line="560" w:lineRule="exact"/>
        <w:ind w:firstLine="0" w:firstLineChars="0"/>
        <w:rPr>
          <w:rFonts w:hint="eastAsia" w:ascii="仿宋" w:hAnsi="仿宋" w:eastAsia="仿宋" w:cs="仿宋"/>
          <w:sz w:val="32"/>
          <w:szCs w:val="32"/>
        </w:rPr>
      </w:pPr>
    </w:p>
    <w:p>
      <w:pPr>
        <w:adjustRightInd w:val="0"/>
        <w:snapToGrid w:val="0"/>
        <w:spacing w:line="56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一、项目概况</w:t>
      </w:r>
    </w:p>
    <w:p>
      <w:pPr>
        <w:adjustRightInd w:val="0"/>
        <w:snapToGrid w:val="0"/>
        <w:spacing w:line="560" w:lineRule="exact"/>
        <w:ind w:firstLine="640" w:firstLineChars="0"/>
        <w:jc w:val="left"/>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一）公司基本情况</w:t>
      </w:r>
    </w:p>
    <w:p>
      <w:pPr>
        <w:adjustRightInd w:val="0"/>
        <w:snapToGrid w:val="0"/>
        <w:spacing w:line="560" w:lineRule="exact"/>
        <w:ind w:firstLine="640" w:firstLineChars="0"/>
        <w:jc w:val="left"/>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海口市</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金融控股有限公司</w:t>
      </w:r>
      <w:r>
        <w:rPr>
          <w:rFonts w:hint="eastAsia" w:ascii="仿宋" w:hAnsi="仿宋" w:eastAsia="仿宋" w:cs="仿宋"/>
          <w:i w:val="0"/>
          <w:iCs w:val="0"/>
          <w:caps w:val="0"/>
          <w:color w:val="000000" w:themeColor="text1"/>
          <w:spacing w:val="0"/>
          <w:sz w:val="32"/>
          <w:szCs w:val="32"/>
          <w14:textFill>
            <w14:solidFill>
              <w14:schemeClr w14:val="tx1"/>
            </w14:solidFill>
          </w14:textFill>
        </w:rPr>
        <w:t>成立于</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2007年1</w:t>
      </w:r>
      <w:r>
        <w:rPr>
          <w:rFonts w:hint="eastAsia" w:ascii="仿宋" w:hAnsi="仿宋" w:eastAsia="仿宋" w:cs="仿宋"/>
          <w:i w:val="0"/>
          <w:iCs w:val="0"/>
          <w:caps w:val="0"/>
          <w:color w:val="000000" w:themeColor="text1"/>
          <w:spacing w:val="0"/>
          <w:sz w:val="32"/>
          <w:szCs w:val="32"/>
          <w14:textFill>
            <w14:solidFill>
              <w14:schemeClr w14:val="tx1"/>
            </w14:solidFill>
          </w14:textFill>
        </w:rPr>
        <w:t>月，</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公司</w:t>
      </w:r>
      <w:r>
        <w:rPr>
          <w:rFonts w:hint="eastAsia" w:ascii="仿宋" w:hAnsi="仿宋" w:eastAsia="仿宋" w:cs="仿宋"/>
          <w:i w:val="0"/>
          <w:iCs w:val="0"/>
          <w:caps w:val="0"/>
          <w:color w:val="000000" w:themeColor="text1"/>
          <w:spacing w:val="0"/>
          <w:sz w:val="32"/>
          <w:szCs w:val="32"/>
          <w14:textFill>
            <w14:solidFill>
              <w14:schemeClr w14:val="tx1"/>
            </w14:solidFill>
          </w14:textFill>
        </w:rPr>
        <w:t>注册资本</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23035万</w:t>
      </w:r>
      <w:r>
        <w:rPr>
          <w:rFonts w:hint="eastAsia" w:ascii="仿宋" w:hAnsi="仿宋" w:eastAsia="仿宋" w:cs="仿宋"/>
          <w:i w:val="0"/>
          <w:iCs w:val="0"/>
          <w:caps w:val="0"/>
          <w:color w:val="000000" w:themeColor="text1"/>
          <w:spacing w:val="0"/>
          <w:sz w:val="32"/>
          <w:szCs w:val="32"/>
          <w14:textFill>
            <w14:solidFill>
              <w14:schemeClr w14:val="tx1"/>
            </w14:solidFill>
          </w14:textFill>
        </w:rPr>
        <w:t>元</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属海口市属国有独资公司</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公司现阶段的业务主要是为中小微企业提供融资担保、典当、小额贷款、基金管理以及商业保理等融资服务，公司下辖6家2级公司（其中2家为壳公司，待注销），3家三级子公司，管理基金3支</w:t>
      </w:r>
      <w:r>
        <w:rPr>
          <w:rFonts w:hint="eastAsia" w:ascii="仿宋" w:hAnsi="仿宋" w:eastAsia="仿宋" w:cs="仿宋"/>
          <w:i w:val="0"/>
          <w:iCs w:val="0"/>
          <w:caps w:val="0"/>
          <w:color w:val="000000" w:themeColor="text1"/>
          <w:spacing w:val="0"/>
          <w:sz w:val="32"/>
          <w:szCs w:val="32"/>
          <w14:textFill>
            <w14:solidFill>
              <w14:schemeClr w14:val="tx1"/>
            </w14:solidFill>
          </w14:textFill>
        </w:rPr>
        <w:t>；截至202</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14:textFill>
            <w14:solidFill>
              <w14:schemeClr w14:val="tx1"/>
            </w14:solidFill>
          </w14:textFill>
        </w:rPr>
        <w:t>年</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32"/>
          <w:szCs w:val="32"/>
          <w14:textFill>
            <w14:solidFill>
              <w14:schemeClr w14:val="tx1"/>
            </w14:solidFill>
          </w14:textFill>
        </w:rPr>
        <w:t>月</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32"/>
          <w:szCs w:val="32"/>
          <w14:textFill>
            <w14:solidFill>
              <w14:schemeClr w14:val="tx1"/>
            </w14:solidFill>
          </w14:textFill>
        </w:rPr>
        <w:t>日，纳入合并报告范围内的资产总额为</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9.3</w:t>
      </w:r>
      <w:r>
        <w:rPr>
          <w:rFonts w:hint="eastAsia" w:ascii="仿宋" w:hAnsi="仿宋" w:eastAsia="仿宋" w:cs="仿宋"/>
          <w:i w:val="0"/>
          <w:iCs w:val="0"/>
          <w:caps w:val="0"/>
          <w:color w:val="000000" w:themeColor="text1"/>
          <w:spacing w:val="0"/>
          <w:sz w:val="32"/>
          <w:szCs w:val="32"/>
          <w14:textFill>
            <w14:solidFill>
              <w14:schemeClr w14:val="tx1"/>
            </w14:solidFill>
          </w14:textFill>
        </w:rPr>
        <w:t>亿元。</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根据年报审计要求，拟就年度审计服务单位进行比选。</w:t>
      </w:r>
    </w:p>
    <w:p>
      <w:pPr>
        <w:adjustRightInd w:val="0"/>
        <w:snapToGrid w:val="0"/>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三</w:t>
      </w:r>
      <w:r>
        <w:rPr>
          <w:rFonts w:hint="eastAsia" w:ascii="仿宋" w:hAnsi="仿宋" w:eastAsia="仿宋" w:cs="仿宋"/>
          <w:b/>
          <w:color w:val="000000" w:themeColor="text1"/>
          <w:sz w:val="32"/>
          <w:szCs w:val="32"/>
          <w14:textFill>
            <w14:solidFill>
              <w14:schemeClr w14:val="tx1"/>
            </w14:solidFill>
          </w14:textFill>
        </w:rPr>
        <w:t>）项目名称：</w:t>
      </w:r>
    </w:p>
    <w:p>
      <w:pPr>
        <w:adjustRightInd w:val="0"/>
        <w:snapToGrid w:val="0"/>
        <w:spacing w:line="56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海口市</w:t>
      </w:r>
      <w:r>
        <w:rPr>
          <w:rFonts w:hint="eastAsia" w:ascii="仿宋" w:hAnsi="仿宋" w:eastAsia="仿宋" w:cs="仿宋"/>
          <w:color w:val="000000" w:themeColor="text1"/>
          <w:sz w:val="32"/>
          <w:szCs w:val="32"/>
          <w:lang w:val="en-US" w:eastAsia="zh-CN"/>
          <w14:textFill>
            <w14:solidFill>
              <w14:schemeClr w14:val="tx1"/>
            </w14:solidFill>
          </w14:textFill>
        </w:rPr>
        <w:t>金融控股</w:t>
      </w:r>
      <w:r>
        <w:rPr>
          <w:rFonts w:hint="eastAsia" w:ascii="仿宋" w:hAnsi="仿宋" w:eastAsia="仿宋" w:cs="仿宋"/>
          <w:color w:val="000000" w:themeColor="text1"/>
          <w:sz w:val="32"/>
          <w:szCs w:val="32"/>
          <w14:textFill>
            <w14:solidFill>
              <w14:schemeClr w14:val="tx1"/>
            </w14:solidFill>
          </w14:textFill>
        </w:rPr>
        <w:t>有限公司</w:t>
      </w:r>
      <w:r>
        <w:rPr>
          <w:rFonts w:hint="eastAsia" w:ascii="仿宋" w:hAnsi="仿宋" w:eastAsia="仿宋" w:cs="仿宋"/>
          <w:color w:val="000000" w:themeColor="text1"/>
          <w:sz w:val="32"/>
          <w:szCs w:val="32"/>
          <w:lang w:val="en-US" w:eastAsia="zh-CN"/>
          <w14:textFill>
            <w14:solidFill>
              <w14:schemeClr w14:val="tx1"/>
            </w14:solidFill>
          </w14:textFill>
        </w:rPr>
        <w:t>年度审计项目</w:t>
      </w:r>
    </w:p>
    <w:p>
      <w:pPr>
        <w:adjustRightInd w:val="0"/>
        <w:snapToGrid w:val="0"/>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三</w:t>
      </w:r>
      <w:r>
        <w:rPr>
          <w:rFonts w:hint="eastAsia" w:ascii="仿宋" w:hAnsi="仿宋" w:eastAsia="仿宋" w:cs="仿宋"/>
          <w:b/>
          <w:color w:val="000000" w:themeColor="text1"/>
          <w:sz w:val="32"/>
          <w:szCs w:val="32"/>
          <w14:textFill>
            <w14:solidFill>
              <w14:schemeClr w14:val="tx1"/>
            </w14:solidFill>
          </w14:textFill>
        </w:rPr>
        <w:t>）项目地址</w:t>
      </w:r>
    </w:p>
    <w:p>
      <w:pPr>
        <w:adjustRightInd w:val="0"/>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海口市龙华区文华东路9号海口金控大厦</w:t>
      </w:r>
    </w:p>
    <w:p>
      <w:pPr>
        <w:adjustRightInd w:val="0"/>
        <w:snapToGrid w:val="0"/>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）项目性质</w:t>
      </w:r>
    </w:p>
    <w:p>
      <w:pPr>
        <w:adjustRightInd w:val="0"/>
        <w:snapToGrid w:val="0"/>
        <w:spacing w:line="560" w:lineRule="exact"/>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2022年度审计服务</w:t>
      </w:r>
    </w:p>
    <w:p>
      <w:pPr>
        <w:adjustRightInd w:val="0"/>
        <w:snapToGrid w:val="0"/>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二、</w:t>
      </w:r>
      <w:r>
        <w:rPr>
          <w:rFonts w:hint="eastAsia" w:ascii="仿宋" w:hAnsi="仿宋" w:eastAsia="仿宋" w:cs="仿宋"/>
          <w:b/>
          <w:color w:val="000000" w:themeColor="text1"/>
          <w:sz w:val="32"/>
          <w:szCs w:val="32"/>
          <w14:textFill>
            <w14:solidFill>
              <w14:schemeClr w14:val="tx1"/>
            </w14:solidFill>
          </w14:textFill>
        </w:rPr>
        <w:t>项目</w:t>
      </w:r>
      <w:r>
        <w:rPr>
          <w:rFonts w:hint="eastAsia" w:ascii="仿宋" w:hAnsi="仿宋" w:eastAsia="仿宋" w:cs="仿宋"/>
          <w:b/>
          <w:color w:val="000000" w:themeColor="text1"/>
          <w:sz w:val="32"/>
          <w:szCs w:val="32"/>
          <w:lang w:val="en-US" w:eastAsia="zh-CN"/>
          <w14:textFill>
            <w14:solidFill>
              <w14:schemeClr w14:val="tx1"/>
            </w14:solidFill>
          </w14:textFill>
        </w:rPr>
        <w:t>审计范围及</w:t>
      </w:r>
      <w:r>
        <w:rPr>
          <w:rFonts w:hint="eastAsia" w:ascii="仿宋" w:hAnsi="仿宋" w:eastAsia="仿宋" w:cs="仿宋"/>
          <w:b/>
          <w:color w:val="000000" w:themeColor="text1"/>
          <w:sz w:val="32"/>
          <w:szCs w:val="32"/>
          <w14:textFill>
            <w14:solidFill>
              <w14:schemeClr w14:val="tx1"/>
            </w14:solidFill>
          </w14:textFill>
        </w:rPr>
        <w:t>内容</w:t>
      </w:r>
    </w:p>
    <w:p>
      <w:pPr>
        <w:adjustRightInd w:val="0"/>
        <w:snapToGrid w:val="0"/>
        <w:spacing w:line="560" w:lineRule="exact"/>
        <w:ind w:firstLine="640" w:firstLineChars="200"/>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根据市国资委关于2022年度市属重点企业年度审计工作的通知要求，本年度审计范围及内容：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Style w:val="7"/>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Style w:val="7"/>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一）</w:t>
      </w:r>
      <w:r>
        <w:rPr>
          <w:rStyle w:val="7"/>
          <w:rFonts w:hint="eastAsia" w:ascii="仿宋" w:hAnsi="仿宋" w:eastAsia="仿宋" w:cs="仿宋"/>
          <w:i w:val="0"/>
          <w:iCs w:val="0"/>
          <w:caps w:val="0"/>
          <w:color w:val="000000" w:themeColor="text1"/>
          <w:spacing w:val="0"/>
          <w:sz w:val="32"/>
          <w:szCs w:val="32"/>
          <w14:textFill>
            <w14:solidFill>
              <w14:schemeClr w14:val="tx1"/>
            </w14:solidFill>
          </w14:textFill>
        </w:rPr>
        <w:t>合并报告范围内审计</w:t>
      </w:r>
      <w:r>
        <w:rPr>
          <w:rStyle w:val="7"/>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14:textFill>
            <w14:solidFill>
              <w14:schemeClr w14:val="tx1"/>
            </w14:solidFill>
          </w14:textFill>
        </w:rPr>
        <w:t>审计年度财务报表和报表附注，出具审计报告，包括集团合并报表的审计报告集团本部和</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32"/>
          <w:szCs w:val="32"/>
          <w14:textFill>
            <w14:solidFill>
              <w14:schemeClr w14:val="tx1"/>
            </w14:solidFill>
          </w14:textFill>
        </w:rPr>
        <w:t>家下属企业的审计报告。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14:textFill>
            <w14:solidFill>
              <w14:schemeClr w14:val="tx1"/>
            </w14:solidFill>
          </w14:textFill>
        </w:rPr>
        <w:t>审核公司编制的2022年度相关合并财务报表附表，出具专项复核说明。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14:textFill>
            <w14:solidFill>
              <w14:schemeClr w14:val="tx1"/>
            </w14:solidFill>
          </w14:textFill>
        </w:rPr>
        <w:t>审核公司根据年度财务决算合并报表口径编制的财务决算专项说明事项，出具财务决算专项说明复核情况说明。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4.根据国资委及上级主管部门要求，出具专项审核报告，主要内容：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（1）2022年度公司负责人</w:t>
      </w:r>
      <w:r>
        <w:rPr>
          <w:rFonts w:hint="eastAsia" w:ascii="仿宋" w:hAnsi="仿宋" w:eastAsia="仿宋" w:cs="仿宋"/>
          <w:i w:val="0"/>
          <w:iCs w:val="0"/>
          <w:caps w:val="0"/>
          <w:color w:val="000000" w:themeColor="text1"/>
          <w:spacing w:val="0"/>
          <w:sz w:val="32"/>
          <w:szCs w:val="32"/>
          <w14:textFill>
            <w14:solidFill>
              <w14:schemeClr w14:val="tx1"/>
            </w14:solidFill>
          </w14:textFill>
        </w:rPr>
        <w:t>经营业绩考核指标</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2022年度公司负责人</w:t>
      </w:r>
      <w:r>
        <w:rPr>
          <w:rFonts w:hint="eastAsia" w:ascii="仿宋" w:hAnsi="仿宋" w:eastAsia="仿宋" w:cs="仿宋"/>
          <w:i w:val="0"/>
          <w:iCs w:val="0"/>
          <w:caps w:val="0"/>
          <w:color w:val="000000" w:themeColor="text1"/>
          <w:spacing w:val="0"/>
          <w:sz w:val="32"/>
          <w:szCs w:val="32"/>
          <w14:textFill>
            <w14:solidFill>
              <w14:schemeClr w14:val="tx1"/>
            </w14:solidFill>
          </w14:textFill>
        </w:rPr>
        <w:t>经营业绩考核指标</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之</w:t>
      </w:r>
      <w:r>
        <w:rPr>
          <w:rFonts w:hint="eastAsia" w:ascii="仿宋" w:hAnsi="仿宋" w:eastAsia="仿宋" w:cs="仿宋"/>
          <w:i w:val="0"/>
          <w:iCs w:val="0"/>
          <w:caps w:val="0"/>
          <w:color w:val="000000" w:themeColor="text1"/>
          <w:spacing w:val="0"/>
          <w:sz w:val="32"/>
          <w:szCs w:val="32"/>
          <w14:textFill>
            <w14:solidFill>
              <w14:schemeClr w14:val="tx1"/>
            </w14:solidFill>
          </w14:textFill>
        </w:rPr>
        <w:t>任务类目标</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的完成情况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3）公司</w:t>
      </w:r>
      <w:r>
        <w:rPr>
          <w:rFonts w:hint="eastAsia" w:ascii="仿宋" w:hAnsi="仿宋" w:eastAsia="仿宋" w:cs="仿宋"/>
          <w:i w:val="0"/>
          <w:iCs w:val="0"/>
          <w:caps w:val="0"/>
          <w:color w:val="000000" w:themeColor="text1"/>
          <w:spacing w:val="0"/>
          <w:sz w:val="32"/>
          <w:szCs w:val="32"/>
          <w14:textFill>
            <w14:solidFill>
              <w14:schemeClr w14:val="tx1"/>
            </w14:solidFill>
          </w14:textFill>
        </w:rPr>
        <w:t>瘦身健体提质增效目标完成情况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公司职工</w:t>
      </w:r>
      <w:r>
        <w:rPr>
          <w:rFonts w:hint="eastAsia" w:ascii="仿宋" w:hAnsi="仿宋" w:eastAsia="仿宋" w:cs="仿宋"/>
          <w:i w:val="0"/>
          <w:iCs w:val="0"/>
          <w:caps w:val="0"/>
          <w:color w:val="000000" w:themeColor="text1"/>
          <w:spacing w:val="0"/>
          <w:sz w:val="32"/>
          <w:szCs w:val="32"/>
          <w14:textFill>
            <w14:solidFill>
              <w14:schemeClr w14:val="tx1"/>
            </w14:solidFill>
          </w14:textFill>
        </w:rPr>
        <w:t>工资总额</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执行情况、企业</w:t>
      </w:r>
      <w:r>
        <w:rPr>
          <w:rFonts w:hint="eastAsia" w:ascii="仿宋" w:hAnsi="仿宋" w:eastAsia="仿宋" w:cs="仿宋"/>
          <w:i w:val="0"/>
          <w:iCs w:val="0"/>
          <w:caps w:val="0"/>
          <w:color w:val="000000" w:themeColor="text1"/>
          <w:spacing w:val="0"/>
          <w:sz w:val="32"/>
          <w:szCs w:val="32"/>
          <w14:textFill>
            <w14:solidFill>
              <w14:schemeClr w14:val="tx1"/>
            </w14:solidFill>
          </w14:textFill>
        </w:rPr>
        <w:t>负责人薪酬发放、履职待遇支出</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的</w:t>
      </w:r>
      <w:r>
        <w:rPr>
          <w:rFonts w:hint="eastAsia" w:ascii="仿宋" w:hAnsi="仿宋" w:eastAsia="仿宋" w:cs="仿宋"/>
          <w:i w:val="0"/>
          <w:iCs w:val="0"/>
          <w:caps w:val="0"/>
          <w:color w:val="000000" w:themeColor="text1"/>
          <w:spacing w:val="0"/>
          <w:sz w:val="32"/>
          <w:szCs w:val="32"/>
          <w14:textFill>
            <w14:solidFill>
              <w14:schemeClr w14:val="tx1"/>
            </w14:solidFill>
          </w14:textFill>
        </w:rPr>
        <w:t>执行情况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公司</w:t>
      </w:r>
      <w:r>
        <w:rPr>
          <w:rFonts w:hint="eastAsia" w:ascii="仿宋" w:hAnsi="仿宋" w:eastAsia="仿宋" w:cs="仿宋"/>
          <w:i w:val="0"/>
          <w:iCs w:val="0"/>
          <w:caps w:val="0"/>
          <w:color w:val="000000" w:themeColor="text1"/>
          <w:spacing w:val="0"/>
          <w:sz w:val="32"/>
          <w:szCs w:val="32"/>
          <w14:textFill>
            <w14:solidFill>
              <w14:schemeClr w14:val="tx1"/>
            </w14:solidFill>
          </w14:textFill>
        </w:rPr>
        <w:t>公务用车费用支出和“三公经费”支出情况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公司国有资本经营预算支出情况；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公司资产减值准备财务核销以其他需要专项审核的事项</w:t>
      </w:r>
      <w:r>
        <w:rPr>
          <w:rFonts w:hint="eastAsia" w:ascii="仿宋" w:hAnsi="仿宋" w:eastAsia="仿宋" w:cs="仿宋"/>
          <w:i w:val="0"/>
          <w:iCs w:val="0"/>
          <w:caps w:val="0"/>
          <w:color w:val="000000" w:themeColor="text1"/>
          <w:spacing w:val="0"/>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6" w:firstLineChars="13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14:textFill>
            <w14:solidFill>
              <w14:schemeClr w14:val="tx1"/>
            </w14:solidFill>
          </w14:textFill>
        </w:rPr>
        <w:t>评价公司经营管理的现状，针对有关会计处理、内部控制及其他存在的问题提出专业意见和改进建议，出具管理建议书。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10" w:leftChars="0" w:right="105" w:rightChars="50" w:firstLine="418" w:firstLineChars="130"/>
        <w:textAlignment w:val="auto"/>
        <w:rPr>
          <w:rFonts w:hint="eastAsia" w:ascii="仿宋" w:hAnsi="仿宋" w:eastAsia="仿宋" w:cs="仿宋"/>
          <w:color w:val="000000" w:themeColor="text1"/>
          <w:sz w:val="32"/>
          <w:szCs w:val="32"/>
          <w14:textFill>
            <w14:solidFill>
              <w14:schemeClr w14:val="tx1"/>
            </w14:solidFill>
          </w14:textFill>
        </w:rPr>
      </w:pPr>
      <w:r>
        <w:rPr>
          <w:rStyle w:val="7"/>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Style w:val="7"/>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二）</w:t>
      </w:r>
      <w:r>
        <w:rPr>
          <w:rStyle w:val="7"/>
          <w:rFonts w:hint="eastAsia" w:ascii="仿宋" w:hAnsi="仿宋" w:eastAsia="仿宋" w:cs="仿宋"/>
          <w:i w:val="0"/>
          <w:iCs w:val="0"/>
          <w:caps w:val="0"/>
          <w:color w:val="000000" w:themeColor="text1"/>
          <w:spacing w:val="0"/>
          <w:sz w:val="32"/>
          <w:szCs w:val="32"/>
          <w14:textFill>
            <w14:solidFill>
              <w14:schemeClr w14:val="tx1"/>
            </w14:solidFill>
          </w14:textFill>
        </w:rPr>
        <w:t>合并报告范围外</w:t>
      </w:r>
      <w:r>
        <w:rPr>
          <w:rStyle w:val="7"/>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的</w:t>
      </w:r>
      <w:r>
        <w:rPr>
          <w:rStyle w:val="7"/>
          <w:rFonts w:hint="eastAsia" w:ascii="仿宋" w:hAnsi="仿宋" w:eastAsia="仿宋" w:cs="仿宋"/>
          <w:i w:val="0"/>
          <w:iCs w:val="0"/>
          <w:caps w:val="0"/>
          <w:color w:val="000000" w:themeColor="text1"/>
          <w:spacing w:val="0"/>
          <w:sz w:val="32"/>
          <w:szCs w:val="32"/>
          <w14:textFill>
            <w14:solidFill>
              <w14:schemeClr w14:val="tx1"/>
            </w14:solidFill>
          </w14:textFill>
        </w:rPr>
        <w:t>审计内容</w:t>
      </w:r>
    </w:p>
    <w:p>
      <w:pPr>
        <w:pStyle w:val="4"/>
        <w:snapToGrid w:val="0"/>
        <w:spacing w:beforeAutospacing="0" w:afterAutospacing="0" w:line="560" w:lineRule="exact"/>
        <w:ind w:left="10" w:firstLine="416" w:firstLineChars="13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审计</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金控资本管辖的在管基金</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年度财务报表和报表附注，分别出具审计报告。</w:t>
      </w:r>
    </w:p>
    <w:p>
      <w:pPr>
        <w:numPr>
          <w:ilvl w:val="-1"/>
          <w:numId w:val="0"/>
        </w:numPr>
        <w:adjustRightInd w:val="0"/>
        <w:snapToGrid w:val="0"/>
        <w:spacing w:line="56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三、审计</w:t>
      </w:r>
      <w:r>
        <w:rPr>
          <w:rFonts w:hint="eastAsia" w:ascii="仿宋" w:hAnsi="仿宋" w:eastAsia="仿宋" w:cs="仿宋"/>
          <w:b/>
          <w:bCs/>
          <w:color w:val="000000" w:themeColor="text1"/>
          <w:sz w:val="32"/>
          <w:szCs w:val="32"/>
          <w14:textFill>
            <w14:solidFill>
              <w14:schemeClr w14:val="tx1"/>
            </w14:solidFill>
          </w14:textFill>
        </w:rPr>
        <w:t>工作目标</w:t>
      </w:r>
    </w:p>
    <w:p>
      <w:pPr>
        <w:adjustRightInd w:val="0"/>
        <w:snapToGrid w:val="0"/>
        <w:spacing w:line="560" w:lineRule="exact"/>
        <w:ind w:firstLine="640"/>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依据</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企业会计准则》的相关</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规定，真实、完整反映</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公司</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有关交易和事项，</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提高公司会计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信息质量、维护</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股东权益是公司的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必然要求</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adjustRightInd w:val="0"/>
        <w:snapToGrid w:val="0"/>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根据上级主管单位、股东单位</w:t>
      </w:r>
      <w:r>
        <w:rPr>
          <w:rFonts w:hint="eastAsia" w:ascii="仿宋" w:hAnsi="仿宋" w:eastAsia="仿宋" w:cs="仿宋"/>
          <w:color w:val="000000" w:themeColor="text1"/>
          <w:sz w:val="32"/>
          <w:szCs w:val="32"/>
          <w:lang w:val="en-US" w:eastAsia="zh-CN"/>
          <w14:textFill>
            <w14:solidFill>
              <w14:schemeClr w14:val="tx1"/>
            </w14:solidFill>
          </w14:textFill>
        </w:rPr>
        <w:t>开展年度报表及专项审计的目的，是审核确定</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公司</w:t>
      </w:r>
      <w:r>
        <w:rPr>
          <w:rFonts w:hint="eastAsia" w:ascii="仿宋" w:hAnsi="仿宋" w:eastAsia="仿宋" w:cs="仿宋"/>
          <w:i w:val="0"/>
          <w:iCs w:val="0"/>
          <w:caps w:val="0"/>
          <w:color w:val="000000" w:themeColor="text1"/>
          <w:spacing w:val="0"/>
          <w:sz w:val="32"/>
          <w:szCs w:val="32"/>
          <w14:textFill>
            <w14:solidFill>
              <w14:schemeClr w14:val="tx1"/>
            </w14:solidFill>
          </w14:textFill>
        </w:rPr>
        <w:t>年度</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财务会计信息及</w:t>
      </w:r>
      <w:r>
        <w:rPr>
          <w:rFonts w:hint="eastAsia" w:ascii="仿宋" w:hAnsi="仿宋" w:eastAsia="仿宋" w:cs="仿宋"/>
          <w:i w:val="0"/>
          <w:iCs w:val="0"/>
          <w:caps w:val="0"/>
          <w:color w:val="000000" w:themeColor="text1"/>
          <w:spacing w:val="0"/>
          <w:sz w:val="32"/>
          <w:szCs w:val="32"/>
          <w14:textFill>
            <w14:solidFill>
              <w14:schemeClr w14:val="tx1"/>
            </w14:solidFill>
          </w14:textFill>
        </w:rPr>
        <w:t>经营成果，分析评价</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公司</w:t>
      </w:r>
      <w:r>
        <w:rPr>
          <w:rFonts w:hint="eastAsia" w:ascii="仿宋" w:hAnsi="仿宋" w:eastAsia="仿宋" w:cs="仿宋"/>
          <w:i w:val="0"/>
          <w:iCs w:val="0"/>
          <w:caps w:val="0"/>
          <w:color w:val="000000" w:themeColor="text1"/>
          <w:spacing w:val="0"/>
          <w:sz w:val="32"/>
          <w:szCs w:val="32"/>
          <w14:textFill>
            <w14:solidFill>
              <w14:schemeClr w14:val="tx1"/>
            </w14:solidFill>
          </w14:textFill>
        </w:rPr>
        <w:t>管理决策及内部控制水平并提供管理建议，为年度国有资产统计、</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财务</w:t>
      </w:r>
      <w:r>
        <w:rPr>
          <w:rFonts w:hint="eastAsia" w:ascii="仿宋" w:hAnsi="仿宋" w:eastAsia="仿宋" w:cs="仿宋"/>
          <w:i w:val="0"/>
          <w:iCs w:val="0"/>
          <w:caps w:val="0"/>
          <w:color w:val="000000" w:themeColor="text1"/>
          <w:spacing w:val="0"/>
          <w:sz w:val="32"/>
          <w:szCs w:val="32"/>
          <w14:textFill>
            <w14:solidFill>
              <w14:schemeClr w14:val="tx1"/>
            </w14:solidFill>
          </w14:textFill>
        </w:rPr>
        <w:t>决算、国有资本经营收益收缴</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工资总额管理</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等事项提供数据支持，同时也为</w:t>
      </w:r>
      <w:r>
        <w:rPr>
          <w:rFonts w:hint="eastAsia" w:ascii="仿宋" w:hAnsi="仿宋" w:eastAsia="仿宋" w:cs="仿宋"/>
          <w:i w:val="0"/>
          <w:iCs w:val="0"/>
          <w:caps w:val="0"/>
          <w:color w:val="000000" w:themeColor="text1"/>
          <w:spacing w:val="0"/>
          <w:sz w:val="32"/>
          <w:szCs w:val="32"/>
          <w14:textFill>
            <w14:solidFill>
              <w14:schemeClr w14:val="tx1"/>
            </w14:solidFill>
          </w14:textFill>
        </w:rPr>
        <w:t>企业负责人</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年度</w:t>
      </w:r>
      <w:r>
        <w:rPr>
          <w:rFonts w:hint="eastAsia" w:ascii="仿宋" w:hAnsi="仿宋" w:eastAsia="仿宋" w:cs="仿宋"/>
          <w:i w:val="0"/>
          <w:iCs w:val="0"/>
          <w:caps w:val="0"/>
          <w:color w:val="000000" w:themeColor="text1"/>
          <w:spacing w:val="0"/>
          <w:sz w:val="32"/>
          <w:szCs w:val="32"/>
          <w14:textFill>
            <w14:solidFill>
              <w14:schemeClr w14:val="tx1"/>
            </w14:solidFill>
          </w14:textFill>
        </w:rPr>
        <w:t>经营业绩考核、</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绩效</w:t>
      </w:r>
      <w:r>
        <w:rPr>
          <w:rFonts w:hint="eastAsia" w:ascii="仿宋" w:hAnsi="仿宋" w:eastAsia="仿宋" w:cs="仿宋"/>
          <w:i w:val="0"/>
          <w:iCs w:val="0"/>
          <w:caps w:val="0"/>
          <w:color w:val="000000" w:themeColor="text1"/>
          <w:spacing w:val="0"/>
          <w:sz w:val="32"/>
          <w:szCs w:val="32"/>
          <w14:textFill>
            <w14:solidFill>
              <w14:schemeClr w14:val="tx1"/>
            </w14:solidFill>
          </w14:textFill>
        </w:rPr>
        <w:t>薪酬</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管理</w:t>
      </w:r>
      <w:r>
        <w:rPr>
          <w:rFonts w:hint="eastAsia" w:ascii="仿宋" w:hAnsi="仿宋" w:eastAsia="仿宋" w:cs="仿宋"/>
          <w:i w:val="0"/>
          <w:iCs w:val="0"/>
          <w:caps w:val="0"/>
          <w:color w:val="000000" w:themeColor="text1"/>
          <w:spacing w:val="0"/>
          <w:sz w:val="32"/>
          <w:szCs w:val="32"/>
          <w14:textFill>
            <w14:solidFill>
              <w14:schemeClr w14:val="tx1"/>
            </w14:solidFill>
          </w14:textFill>
        </w:rPr>
        <w:t>提供</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考核</w:t>
      </w:r>
      <w:r>
        <w:rPr>
          <w:rFonts w:hint="eastAsia" w:ascii="仿宋" w:hAnsi="仿宋" w:eastAsia="仿宋" w:cs="仿宋"/>
          <w:i w:val="0"/>
          <w:iCs w:val="0"/>
          <w:caps w:val="0"/>
          <w:color w:val="000000" w:themeColor="text1"/>
          <w:spacing w:val="0"/>
          <w:sz w:val="32"/>
          <w:szCs w:val="32"/>
          <w14:textFill>
            <w14:solidFill>
              <w14:schemeClr w14:val="tx1"/>
            </w14:solidFill>
          </w14:textFill>
        </w:rPr>
        <w:t>依据</w:t>
      </w:r>
      <w:r>
        <w:rPr>
          <w:rFonts w:hint="eastAsia" w:ascii="仿宋" w:hAnsi="仿宋" w:eastAsia="仿宋" w:cs="仿宋"/>
          <w:color w:val="000000" w:themeColor="text1"/>
          <w:sz w:val="32"/>
          <w:szCs w:val="32"/>
          <w14:textFill>
            <w14:solidFill>
              <w14:schemeClr w14:val="tx1"/>
            </w14:solidFill>
          </w14:textFill>
        </w:rPr>
        <w:t>及参考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 </w:t>
      </w:r>
    </w:p>
    <w:p>
      <w:pPr>
        <w:adjustRightInd w:val="0"/>
        <w:snapToGrid w:val="0"/>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3C189"/>
    <w:multiLevelType w:val="singleLevel"/>
    <w:tmpl w:val="7093C18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24C83"/>
    <w:rsid w:val="1C3F7B78"/>
    <w:rsid w:val="5DB2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2022-12-27T08:38:00Z</dcterms:created>
  <dc:creator>天涯孤旅</dc:creator>
  <cp:lastModifiedBy>天涯孤旅</cp:lastModifiedBy>
  <dcterms:modified xsi:type="dcterms:W3CDTF">2022-12-27T08:39:53Z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5FCB2812C1404A2CA3FF1A0C3CA96225</vt:lpwstr>
  </property>
</Properties>
</file>